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AA" w:rsidRPr="007164AA" w:rsidRDefault="007164AA" w:rsidP="007164AA">
      <w:pPr>
        <w:jc w:val="center"/>
        <w:rPr>
          <w:rFonts w:ascii="Times New Roman" w:hAnsi="Times New Roman" w:cs="Times New Roman"/>
          <w:b/>
          <w:sz w:val="28"/>
        </w:rPr>
      </w:pPr>
      <w:r w:rsidRPr="007164AA">
        <w:rPr>
          <w:rFonts w:ascii="Times New Roman" w:hAnsi="Times New Roman" w:cs="Times New Roman"/>
          <w:b/>
          <w:sz w:val="28"/>
        </w:rPr>
        <w:t>АФРИКАНСКАЯ ЧУМА СВИНЕЙ!</w:t>
      </w:r>
    </w:p>
    <w:p w:rsidR="00D616AC" w:rsidRDefault="008D5DBE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Российской Федерации сохраняется неблагополучная эпизоотическая ситуация по африканской чуме свиней (далее – АЧС). По состоянию на 05.09.2022 год в 18 субъектах Российской Федерации зарегистрировано 49 случаев заболевания АЧС среди домашних свиней и 29 случаев АЧС на территориях 9 субъектов Российской Федерации среди диких кабанов.</w:t>
      </w:r>
    </w:p>
    <w:p w:rsidR="008D5DBE" w:rsidRDefault="008D5DBE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Ставропольский край, сопредельный с границами Краснодарского края, в связи с регистрацией АЧС на крупном свиноводческом предприятии СТФ СПК «Колхоз имени 1 Мая», включен в перечень </w:t>
      </w:r>
      <w:proofErr w:type="gramStart"/>
      <w:r>
        <w:rPr>
          <w:rFonts w:ascii="Times New Roman" w:hAnsi="Times New Roman" w:cs="Times New Roman"/>
          <w:sz w:val="28"/>
        </w:rPr>
        <w:t>неблагополучных</w:t>
      </w:r>
      <w:proofErr w:type="gramEnd"/>
      <w:r>
        <w:rPr>
          <w:rFonts w:ascii="Times New Roman" w:hAnsi="Times New Roman" w:cs="Times New Roman"/>
          <w:sz w:val="28"/>
        </w:rPr>
        <w:t xml:space="preserve"> по данному заболеванию.</w:t>
      </w:r>
    </w:p>
    <w:p w:rsidR="008D5DBE" w:rsidRDefault="008D5DBE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вируса АЧС – продолжительное сохранение, выживаемость мне организма, в окружающей среде, устойчивость к неблагоприятным воздействиям средовых факторов (дезинфекция, тепловая обработка), напрямую вовлекает владельцев личных подсобных хозяйств, связанных с содержанием свиней в эпизоотическую цепь передачи данного заболевания.</w:t>
      </w:r>
    </w:p>
    <w:p w:rsidR="008D5DBE" w:rsidRDefault="008D5DBE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Южное межрегиональное управление </w:t>
      </w:r>
      <w:proofErr w:type="spellStart"/>
      <w:r>
        <w:rPr>
          <w:rFonts w:ascii="Times New Roman" w:hAnsi="Times New Roman" w:cs="Times New Roman"/>
          <w:sz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</w:rPr>
        <w:t xml:space="preserve"> напоминает о неукоснительном соблюдении ветеринарных правил, а именно:</w:t>
      </w:r>
    </w:p>
    <w:p w:rsidR="008D5DBE" w:rsidRDefault="008D5DBE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«Ветеринарных правил содержания свиней в целях их воспроизводства, выращивания и реализации», утв. Приказ Минсельхоза России от 21.10.2020 года №621;</w:t>
      </w:r>
    </w:p>
    <w:p w:rsidR="008D5DBE" w:rsidRDefault="008D5DBE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 (утв. Приказом Минсельхоза России №37 от 28 января 2021 года) и иных болезней </w:t>
      </w:r>
      <w:r w:rsidR="007164AA">
        <w:rPr>
          <w:rFonts w:ascii="Times New Roman" w:hAnsi="Times New Roman" w:cs="Times New Roman"/>
          <w:sz w:val="28"/>
        </w:rPr>
        <w:t>животных, утвержденных по отдельным болезням животных;</w:t>
      </w:r>
    </w:p>
    <w:p w:rsidR="007164AA" w:rsidRDefault="007164AA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Ветеринарных правила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утв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риказом Минсельхоза России от 27.12.2016 №589;</w:t>
      </w:r>
    </w:p>
    <w:p w:rsidR="007164AA" w:rsidRPr="008D5DBE" w:rsidRDefault="007164AA" w:rsidP="008D5D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Ветеринарных правил перемещения, хранения, переработки и утилизации биологических отходов, утв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риказом Министерства сельского хозяйства РФ от 26 октября 2020г. №626.</w:t>
      </w:r>
    </w:p>
    <w:sectPr w:rsidR="007164AA" w:rsidRPr="008D5DBE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DBE"/>
    <w:rsid w:val="005F12F4"/>
    <w:rsid w:val="007164AA"/>
    <w:rsid w:val="008D5DBE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2022-09-22T12:06:00Z</dcterms:created>
  <dcterms:modified xsi:type="dcterms:W3CDTF">2022-09-22T12:22:00Z</dcterms:modified>
</cp:coreProperties>
</file>